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F4" w:rsidRP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z w:val="24"/>
          <w:szCs w:val="24"/>
        </w:rPr>
        <w:t>Chapter 3: Cultural Crossroads</w:t>
      </w:r>
    </w:p>
    <w:p w:rsidR="0038496A" w:rsidRP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496A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lture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Ethnocentrism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relativism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culture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Symbolic culture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Gestures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Sapir-Wharf hypothesis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Folkway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Taboo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Sanction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control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Multiculturalism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Dominant culture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Hegemony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Subculture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Counterculture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 wars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 culture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culture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  <w:bookmarkStart w:id="0" w:name="_GoBack"/>
      <w:bookmarkEnd w:id="0"/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Technological determinism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diffusion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leveling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imperialism</w:t>
      </w:r>
    </w:p>
    <w:p w:rsid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496A" w:rsidRPr="0038496A" w:rsidRDefault="0038496A" w:rsidP="003849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38496A" w:rsidRPr="0038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6A"/>
    <w:rsid w:val="0038496A"/>
    <w:rsid w:val="007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Lorri L.</dc:creator>
  <cp:lastModifiedBy>Weimer, Lorri L.</cp:lastModifiedBy>
  <cp:revision>1</cp:revision>
  <dcterms:created xsi:type="dcterms:W3CDTF">2015-01-20T15:50:00Z</dcterms:created>
  <dcterms:modified xsi:type="dcterms:W3CDTF">2015-01-20T15:55:00Z</dcterms:modified>
</cp:coreProperties>
</file>